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ceba430b848a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13096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VLADIMIRA NAZORA, PLOČE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2.114.261,52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2.271.413,99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2.060.605,90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2.397.312,59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125.898,60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42.822,65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49.001,53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42.822,65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49.001,53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174.900,13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VLADIMIR NAZOR Ploče je matična škola koja obuhvaća obveznike Ploča, Stabline, Baćine, Peračkog Blata i Pline. U školi djeluje glazbeni odjel i posebno odjeljenje za djecu s teškoćama. Imamo i područnu školu u Rogotinu. Škola posluje u skladu s Zakonom o odgoju i obrazovanju u osnovnoj i srednjoj školi te Statutom škole. Vodi proračunsko računovodstvo temeljem Pravilnika o praoračunskom računovodstvu i računskom planu a financijske izvještaje sastavlja i predaje u skladu s odredbama Pravilnika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1.849.192,28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1.987.631,52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Prihodi Državnog praračuna preko računa Državne riznice za plaće i materijalna prava zaposlenih, naknade za prijevoz s posla i na posao te Odlukom Vlade RH osigurana besplatna prehrana za sve osnovnoškolce. Tijekom 2025. povećani su iznosi jer je došlo dopovećanja i plaća i materijalnih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Prvi put u 2025. godini smo iznajmili prostor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3.891,18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86,2</w:t>
            </w:r>
          </w:p>
        </w:tc>
      </w:tr>
    </w:tbl>
    <w:p>
      <w:pPr>
        <w:spacing w:before="0" w:after="0"/>
      </w:pPr>
    </w:p>
    <w:p>
      <w:r>
        <w:t xml:space="preserve">Participacija roditelja za sufinanciranje glazbenog odjela naplaćuje se uz suglasnost DNŽ radi osiguravanja normalnog rada i uvjeta za rad s djecom.</w:t>
      </w:r>
    </w:p>
    <w:p>
      <w:r>
        <w:t xml:space="preserve">U novoj školskoj godini odobreno nam je povećanje participacije što će nam znatno pomoći.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9.884,63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14.034,76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142,0</w:t>
            </w:r>
          </w:p>
        </w:tc>
      </w:tr>
    </w:tbl>
    <w:p>
      <w:pPr>
        <w:spacing w:before="0" w:after="0"/>
      </w:pPr>
    </w:p>
    <w:p>
      <w:r>
        <w:t xml:space="preserve">Ostvarili smo dosta donacije i uz pomoć svih djelatnika škole, roditelja i učenika kroz manifestacije Dana kruha, Dana grad te uz pomoć Luke Ploče i njenih donacija trudimo se unaprijediti organizaciju rada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227.079,17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247.864,93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Došlo je do povećanja zbog većih materijalnih troškova usljed povećanja cijene sata najma dvorane koju koristi škola te dodatnih radova na osiguranju prelaska u jednu smjenu.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1.412.863,27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1.672.088,98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Povećanje troškova za plaće zbog povećanih koeficijenata i prava iz Kolektivnog ugovora, te te novog načina knjiženja plaće za 12-2025.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9.269,72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135,0</w:t>
            </w:r>
          </w:p>
        </w:tc>
      </w:tr>
    </w:tbl>
    <w:p>
      <w:pPr>
        <w:spacing w:before="0" w:after="0"/>
      </w:pPr>
    </w:p>
    <w:p>
      <w:r>
        <w:t xml:space="preserve">U odnosu na prošlu godinu troškovi su povećani zbog većeg broja stručnih usavršavanja, organiziranih izleta i terenske nastave te sudjelovanja škole na 4 Državna natjecanja.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1923,4</w:t>
            </w:r>
          </w:p>
        </w:tc>
      </w:tr>
    </w:tbl>
    <w:p>
      <w:pPr>
        <w:spacing w:before="0" w:after="0"/>
      </w:pPr>
    </w:p>
    <w:p>
      <w:r>
        <w:t xml:space="preserve">Stručno usavršavanje je provedeno kroz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11.981,13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175,3</w:t>
            </w:r>
          </w:p>
        </w:tc>
      </w:tr>
    </w:tbl>
    <w:p>
      <w:pPr>
        <w:spacing w:before="0" w:after="0"/>
      </w:pPr>
    </w:p>
    <w:p>
      <w:r>
        <w:t xml:space="preserve">Zbog ulaganja DNŽ u cilju prelaženja na jednu smjenu su povećani troškovi.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10.245,60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15.079,20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</w:tbl>
    <w:p>
      <w:pPr>
        <w:spacing w:before="0" w:after="0"/>
      </w:pPr>
    </w:p>
    <w:p>
      <w:r>
        <w:t xml:space="preserve">Zbog gašenja Doma športova Ploče i prelaska dvorane za tjelesni odgoj pod Komunalno održaanje Ploče i povećanja cijene satat dvorane došlo je i do povećaja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169.459,49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Usljed nove metodologije knjiženja plaća te ostalih troškova došlo je do metodološkog manjka koji je anuliran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160.694,17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metodologija knjiženja i plaće za 122025.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21.221,95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-169.459,49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-798,5</w:t>
            </w:r>
          </w:p>
        </w:tc>
      </w:tr>
    </w:tbl>
    <w:p>
      <w:pPr>
        <w:spacing w:before="0" w:after="0"/>
      </w:pPr>
    </w:p>
    <w:p>
      <w:r>
        <w:t xml:space="preserve">Metodološki manjak koji to u stvari nije zbog novog načina knjiženja obračunate plaće u 2025. i drugih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160.694,17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metodologija knjiženja plaće za 122025.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426,5</w:t>
            </w:r>
          </w:p>
        </w:tc>
      </w:tr>
    </w:tbl>
    <w:p>
      <w:pPr>
        <w:spacing w:before="0" w:after="0"/>
      </w:pPr>
    </w:p>
    <w:p>
      <w:r>
        <w:t xml:space="preserve">Usklađeni su iznosi sa HZZO-om.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173.180,36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se odnose na plaću 122025 te mat.troškove 122025.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bolovanje HZZO te erasmus.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Erasmus projekt u 2025 je ostvaren u suradnji sa školama partnerima i u skladu s potpisanim ugovorima.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dfd72e9677458b" /></Relationships>
</file>